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0" w:type="pct"/>
        <w:tblLook w:val="04A0" w:firstRow="1" w:lastRow="0" w:firstColumn="1" w:lastColumn="0" w:noHBand="0" w:noVBand="1"/>
      </w:tblPr>
      <w:tblGrid>
        <w:gridCol w:w="420"/>
        <w:gridCol w:w="2831"/>
        <w:gridCol w:w="3154"/>
        <w:gridCol w:w="2657"/>
      </w:tblGrid>
      <w:tr w:rsidR="003A046E" w:rsidRPr="00723938" w14:paraId="7E8A4D81" w14:textId="77777777" w:rsidTr="00641020">
        <w:tc>
          <w:tcPr>
            <w:tcW w:w="232" w:type="pct"/>
          </w:tcPr>
          <w:p w14:paraId="35CB8F3E" w14:textId="77777777" w:rsidR="003A046E" w:rsidRPr="00723938" w:rsidRDefault="003A046E" w:rsidP="00641020">
            <w:pPr>
              <w:rPr>
                <w:rFonts w:ascii="Open Sans" w:eastAsia="Calibri" w:hAnsi="Open Sans" w:cs="Open Sans"/>
                <w:sz w:val="20"/>
                <w:szCs w:val="20"/>
              </w:rPr>
            </w:pPr>
          </w:p>
        </w:tc>
        <w:tc>
          <w:tcPr>
            <w:tcW w:w="1562" w:type="pct"/>
            <w:hideMark/>
          </w:tcPr>
          <w:p w14:paraId="5D430168" w14:textId="77777777" w:rsidR="003A046E" w:rsidRPr="00723938" w:rsidRDefault="003A046E" w:rsidP="00641020">
            <w:pPr>
              <w:rPr>
                <w:rFonts w:ascii="Open Sans" w:eastAsia="Calibri" w:hAnsi="Open Sans" w:cs="Open Sans"/>
                <w:b/>
                <w:bCs/>
                <w:sz w:val="20"/>
                <w:szCs w:val="20"/>
              </w:rPr>
            </w:pPr>
            <w:r w:rsidRPr="00723938">
              <w:rPr>
                <w:rFonts w:ascii="Open Sans" w:eastAsia="Calibri" w:hAnsi="Open Sans" w:cs="Open Sans"/>
                <w:b/>
                <w:bCs/>
                <w:sz w:val="20"/>
                <w:szCs w:val="20"/>
              </w:rPr>
              <w:t>Wat</w:t>
            </w:r>
          </w:p>
          <w:p w14:paraId="6E99E259" w14:textId="77777777" w:rsidR="003A046E" w:rsidRPr="00723938" w:rsidRDefault="003A046E" w:rsidP="00641020">
            <w:pPr>
              <w:rPr>
                <w:rFonts w:ascii="Open Sans" w:eastAsia="Calibri" w:hAnsi="Open Sans" w:cs="Open Sans"/>
                <w:b/>
                <w:bCs/>
                <w:sz w:val="20"/>
                <w:szCs w:val="20"/>
              </w:rPr>
            </w:pPr>
          </w:p>
        </w:tc>
        <w:tc>
          <w:tcPr>
            <w:tcW w:w="1740" w:type="pct"/>
            <w:hideMark/>
          </w:tcPr>
          <w:p w14:paraId="208D5BEE" w14:textId="77777777" w:rsidR="003A046E" w:rsidRPr="00723938" w:rsidRDefault="003A046E" w:rsidP="00641020">
            <w:pPr>
              <w:rPr>
                <w:rFonts w:ascii="Open Sans" w:eastAsia="Calibri" w:hAnsi="Open Sans" w:cs="Open Sans"/>
                <w:b/>
                <w:bCs/>
                <w:sz w:val="20"/>
                <w:szCs w:val="20"/>
              </w:rPr>
            </w:pPr>
            <w:r w:rsidRPr="00723938">
              <w:rPr>
                <w:rFonts w:ascii="Open Sans" w:eastAsia="Calibri" w:hAnsi="Open Sans" w:cs="Open Sans"/>
                <w:b/>
                <w:bCs/>
                <w:sz w:val="20"/>
                <w:szCs w:val="20"/>
              </w:rPr>
              <w:t>Bewaartermijn</w:t>
            </w:r>
          </w:p>
        </w:tc>
        <w:tc>
          <w:tcPr>
            <w:tcW w:w="1466" w:type="pct"/>
          </w:tcPr>
          <w:p w14:paraId="6A0C8D01" w14:textId="77777777" w:rsidR="003A046E" w:rsidRPr="00723938" w:rsidRDefault="003A046E" w:rsidP="00641020">
            <w:pPr>
              <w:rPr>
                <w:rFonts w:ascii="Open Sans" w:eastAsia="Calibri" w:hAnsi="Open Sans" w:cs="Open Sans"/>
                <w:b/>
                <w:bCs/>
                <w:sz w:val="20"/>
                <w:szCs w:val="20"/>
              </w:rPr>
            </w:pPr>
            <w:r w:rsidRPr="00723938">
              <w:rPr>
                <w:rFonts w:ascii="Open Sans" w:eastAsia="Calibri" w:hAnsi="Open Sans" w:cs="Open Sans"/>
                <w:b/>
                <w:bCs/>
                <w:sz w:val="20"/>
                <w:szCs w:val="20"/>
              </w:rPr>
              <w:t>Toelichting</w:t>
            </w:r>
          </w:p>
        </w:tc>
      </w:tr>
      <w:tr w:rsidR="003A046E" w:rsidRPr="00723938" w14:paraId="4F691F8D" w14:textId="77777777" w:rsidTr="00641020">
        <w:tc>
          <w:tcPr>
            <w:tcW w:w="232" w:type="pct"/>
          </w:tcPr>
          <w:p w14:paraId="1ACC4E85" w14:textId="77777777" w:rsidR="003A046E" w:rsidRPr="00723938" w:rsidRDefault="003A046E" w:rsidP="003A046E">
            <w:pPr>
              <w:numPr>
                <w:ilvl w:val="0"/>
                <w:numId w:val="1"/>
              </w:numPr>
              <w:spacing w:line="256" w:lineRule="auto"/>
              <w:ind w:left="306" w:hanging="284"/>
              <w:contextualSpacing/>
              <w:rPr>
                <w:rFonts w:ascii="Open Sans" w:eastAsia="Calibri" w:hAnsi="Open Sans" w:cs="Open Sans"/>
                <w:sz w:val="20"/>
                <w:szCs w:val="20"/>
              </w:rPr>
            </w:pPr>
          </w:p>
        </w:tc>
        <w:tc>
          <w:tcPr>
            <w:tcW w:w="1562" w:type="pct"/>
          </w:tcPr>
          <w:p w14:paraId="2AECF326"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 xml:space="preserve">In- en uitschrijvingen (inclusief aanvullende aanmeldingsformulieren) </w:t>
            </w:r>
          </w:p>
          <w:p w14:paraId="5F38C06F" w14:textId="77777777" w:rsidR="003A046E" w:rsidRPr="00723938" w:rsidRDefault="003A046E" w:rsidP="00641020">
            <w:pPr>
              <w:rPr>
                <w:rFonts w:ascii="Open Sans" w:eastAsia="Calibri" w:hAnsi="Open Sans" w:cs="Open Sans"/>
                <w:sz w:val="20"/>
                <w:szCs w:val="20"/>
              </w:rPr>
            </w:pPr>
          </w:p>
        </w:tc>
        <w:tc>
          <w:tcPr>
            <w:tcW w:w="1740" w:type="pct"/>
          </w:tcPr>
          <w:p w14:paraId="1F3B550B"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10 jaar na afronden van de opleiding door deelnemer</w:t>
            </w:r>
          </w:p>
        </w:tc>
        <w:tc>
          <w:tcPr>
            <w:tcW w:w="1466" w:type="pct"/>
          </w:tcPr>
          <w:p w14:paraId="423A3DFE"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Voor lustrumvieringen bewaren we deze gegevens.</w:t>
            </w:r>
          </w:p>
        </w:tc>
      </w:tr>
      <w:tr w:rsidR="003A046E" w:rsidRPr="00723938" w14:paraId="58B15552" w14:textId="77777777" w:rsidTr="00641020">
        <w:tc>
          <w:tcPr>
            <w:tcW w:w="232" w:type="pct"/>
          </w:tcPr>
          <w:p w14:paraId="0EEC3BBE" w14:textId="77777777" w:rsidR="003A046E" w:rsidRPr="00723938" w:rsidRDefault="003A046E" w:rsidP="003A046E">
            <w:pPr>
              <w:numPr>
                <w:ilvl w:val="0"/>
                <w:numId w:val="1"/>
              </w:numPr>
              <w:spacing w:line="256" w:lineRule="auto"/>
              <w:ind w:left="306" w:hanging="284"/>
              <w:contextualSpacing/>
              <w:rPr>
                <w:rFonts w:ascii="Open Sans" w:eastAsia="Calibri" w:hAnsi="Open Sans" w:cs="Open Sans"/>
                <w:sz w:val="20"/>
                <w:szCs w:val="20"/>
              </w:rPr>
            </w:pPr>
          </w:p>
        </w:tc>
        <w:tc>
          <w:tcPr>
            <w:tcW w:w="1562" w:type="pct"/>
            <w:hideMark/>
          </w:tcPr>
          <w:p w14:paraId="17BCA17F"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 xml:space="preserve">Individuele evaluatie-uitslagen </w:t>
            </w:r>
          </w:p>
        </w:tc>
        <w:tc>
          <w:tcPr>
            <w:tcW w:w="1740" w:type="pct"/>
            <w:hideMark/>
          </w:tcPr>
          <w:p w14:paraId="3A8C44D4"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10 jaar na de bijeenkomst</w:t>
            </w:r>
          </w:p>
        </w:tc>
        <w:tc>
          <w:tcPr>
            <w:tcW w:w="1466" w:type="pct"/>
          </w:tcPr>
          <w:p w14:paraId="32393BA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Het is van belang dat Grotius Academie de ontwikkeling in de score van de docent kan nagaan. Als de docent een periode minder goed scoort kan vergelijking met een periode daarvoor plaatsvinden.</w:t>
            </w:r>
          </w:p>
        </w:tc>
      </w:tr>
      <w:tr w:rsidR="003A046E" w:rsidRPr="00723938" w14:paraId="2B645FC1" w14:textId="77777777" w:rsidTr="00641020">
        <w:tc>
          <w:tcPr>
            <w:tcW w:w="232" w:type="pct"/>
          </w:tcPr>
          <w:p w14:paraId="26230FB8"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2A1ED306"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Collectieve evaluatie-uitslagen (geanonimiseerd)</w:t>
            </w:r>
          </w:p>
        </w:tc>
        <w:tc>
          <w:tcPr>
            <w:tcW w:w="1740" w:type="pct"/>
          </w:tcPr>
          <w:p w14:paraId="7B924419"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354B78C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Het is van belang dat de Grotius Academie altijd kan nagaan hoe bepaalde onderdelen in het verleden hebben gescoord.</w:t>
            </w:r>
          </w:p>
        </w:tc>
      </w:tr>
      <w:tr w:rsidR="003A046E" w:rsidRPr="00723938" w14:paraId="57B465A6" w14:textId="77777777" w:rsidTr="00641020">
        <w:tc>
          <w:tcPr>
            <w:tcW w:w="232" w:type="pct"/>
          </w:tcPr>
          <w:p w14:paraId="44BA2835"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hideMark/>
          </w:tcPr>
          <w:p w14:paraId="34A562D4"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Correspondentie algemeen</w:t>
            </w:r>
          </w:p>
        </w:tc>
        <w:tc>
          <w:tcPr>
            <w:tcW w:w="1740" w:type="pct"/>
            <w:hideMark/>
          </w:tcPr>
          <w:p w14:paraId="47CD363B"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5 jaar na verzending</w:t>
            </w:r>
          </w:p>
        </w:tc>
        <w:tc>
          <w:tcPr>
            <w:tcW w:w="1466" w:type="pct"/>
          </w:tcPr>
          <w:p w14:paraId="26A65FC2"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Bepaalde correspondentie moet  geraadpleegd kunnen worden. Een termijn van 5 jaar is voldoende.</w:t>
            </w:r>
          </w:p>
        </w:tc>
      </w:tr>
      <w:tr w:rsidR="003A046E" w:rsidRPr="00723938" w14:paraId="4FAFA7EF" w14:textId="77777777" w:rsidTr="00641020">
        <w:tc>
          <w:tcPr>
            <w:tcW w:w="232" w:type="pct"/>
          </w:tcPr>
          <w:p w14:paraId="3EAC78C8"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hideMark/>
          </w:tcPr>
          <w:p w14:paraId="79A26493"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Opleidingsdossiers</w:t>
            </w:r>
          </w:p>
        </w:tc>
        <w:tc>
          <w:tcPr>
            <w:tcW w:w="1740" w:type="pct"/>
            <w:hideMark/>
          </w:tcPr>
          <w:p w14:paraId="65F94606"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5 jaar na afronding van de opleiding</w:t>
            </w:r>
          </w:p>
        </w:tc>
        <w:tc>
          <w:tcPr>
            <w:tcW w:w="1466" w:type="pct"/>
          </w:tcPr>
          <w:p w14:paraId="2700404E"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Gedurende een bepaalde periode heeft de Grotius Academie opleidingsdossiers nodig, bijvoorbeeld voor  inhalers, precedenten etc. Een termijn van vijf jaar is voldoende.</w:t>
            </w:r>
          </w:p>
        </w:tc>
      </w:tr>
      <w:tr w:rsidR="003A046E" w:rsidRPr="00723938" w14:paraId="549BBC6C" w14:textId="77777777" w:rsidTr="00641020">
        <w:tc>
          <w:tcPr>
            <w:tcW w:w="232" w:type="pct"/>
          </w:tcPr>
          <w:p w14:paraId="20CA4D20"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0BFD7B2D" w14:textId="77777777" w:rsidR="003A046E" w:rsidRPr="00723938" w:rsidRDefault="003A046E" w:rsidP="00641020">
            <w:pPr>
              <w:rPr>
                <w:rFonts w:ascii="Open Sans" w:eastAsia="Calibri" w:hAnsi="Open Sans" w:cs="Open Sans"/>
                <w:sz w:val="20"/>
                <w:szCs w:val="20"/>
                <w:highlight w:val="yellow"/>
              </w:rPr>
            </w:pPr>
            <w:r w:rsidRPr="00723938">
              <w:rPr>
                <w:rFonts w:ascii="Open Sans" w:eastAsia="Calibri" w:hAnsi="Open Sans" w:cs="Open Sans"/>
                <w:sz w:val="20"/>
                <w:szCs w:val="20"/>
              </w:rPr>
              <w:t>Examenwerk (inclusief huiswerkuitwerkingen ed.)</w:t>
            </w:r>
          </w:p>
        </w:tc>
        <w:tc>
          <w:tcPr>
            <w:tcW w:w="1740" w:type="pct"/>
            <w:hideMark/>
          </w:tcPr>
          <w:p w14:paraId="166B29D1"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8 weken na afronding van de opleiding</w:t>
            </w:r>
          </w:p>
        </w:tc>
        <w:tc>
          <w:tcPr>
            <w:tcW w:w="1466" w:type="pct"/>
          </w:tcPr>
          <w:p w14:paraId="283000CF"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Op basis van dit werk worden de cijfers van deelnemers bepaald. In verband met bezwaar en beroep is het bewaren van deze werken tot 8 weken na afronding noodzakelijk.</w:t>
            </w:r>
          </w:p>
        </w:tc>
      </w:tr>
      <w:tr w:rsidR="003A046E" w:rsidRPr="00723938" w14:paraId="3E95E2F5" w14:textId="77777777" w:rsidTr="00641020">
        <w:tc>
          <w:tcPr>
            <w:tcW w:w="232" w:type="pct"/>
          </w:tcPr>
          <w:p w14:paraId="7598500D"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6F43F43D"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Examenregisters (aanwezigheids- en beoordelingsregistratie)</w:t>
            </w:r>
          </w:p>
          <w:p w14:paraId="1CFDA932" w14:textId="77777777" w:rsidR="003A046E" w:rsidRPr="00723938" w:rsidRDefault="003A046E" w:rsidP="00641020">
            <w:pPr>
              <w:rPr>
                <w:rFonts w:ascii="Open Sans" w:eastAsia="Calibri" w:hAnsi="Open Sans" w:cs="Open Sans"/>
                <w:sz w:val="20"/>
                <w:szCs w:val="20"/>
              </w:rPr>
            </w:pPr>
          </w:p>
        </w:tc>
        <w:tc>
          <w:tcPr>
            <w:tcW w:w="1740" w:type="pct"/>
            <w:hideMark/>
          </w:tcPr>
          <w:p w14:paraId="4A509F55" w14:textId="77777777" w:rsidR="003A046E" w:rsidRPr="00723938" w:rsidRDefault="003A046E" w:rsidP="00641020">
            <w:pPr>
              <w:rPr>
                <w:rFonts w:ascii="Open Sans" w:eastAsia="Calibri" w:hAnsi="Open Sans" w:cs="Open Sans"/>
                <w:b/>
                <w:bCs/>
                <w:sz w:val="20"/>
                <w:szCs w:val="20"/>
                <w:highlight w:val="yellow"/>
              </w:rPr>
            </w:pPr>
            <w:r w:rsidRPr="00723938">
              <w:rPr>
                <w:rFonts w:ascii="Open Sans" w:eastAsia="Calibri" w:hAnsi="Open Sans" w:cs="Open Sans"/>
                <w:sz w:val="20"/>
                <w:szCs w:val="20"/>
              </w:rPr>
              <w:t>Altijd bewaren</w:t>
            </w:r>
          </w:p>
        </w:tc>
        <w:tc>
          <w:tcPr>
            <w:tcW w:w="1466" w:type="pct"/>
          </w:tcPr>
          <w:p w14:paraId="11FD5440"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Op basis van deze gegevens kunnen duplicaat certificaten worden verstrekt. Heet bewaren van deze registers is daarvoor noodzakelijk.</w:t>
            </w:r>
          </w:p>
        </w:tc>
      </w:tr>
      <w:tr w:rsidR="003A046E" w:rsidRPr="00723938" w14:paraId="6EF0021C" w14:textId="77777777" w:rsidTr="00641020">
        <w:tc>
          <w:tcPr>
            <w:tcW w:w="232" w:type="pct"/>
          </w:tcPr>
          <w:p w14:paraId="1730A454"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401CDD64"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Bezwaarschriften</w:t>
            </w:r>
          </w:p>
          <w:p w14:paraId="2E662BFB" w14:textId="77777777" w:rsidR="003A046E" w:rsidRPr="00723938" w:rsidRDefault="003A046E" w:rsidP="00641020">
            <w:pPr>
              <w:rPr>
                <w:rFonts w:ascii="Open Sans" w:eastAsia="Calibri" w:hAnsi="Open Sans" w:cs="Open Sans"/>
                <w:sz w:val="20"/>
                <w:szCs w:val="20"/>
              </w:rPr>
            </w:pPr>
          </w:p>
        </w:tc>
        <w:tc>
          <w:tcPr>
            <w:tcW w:w="1740" w:type="pct"/>
            <w:hideMark/>
          </w:tcPr>
          <w:p w14:paraId="20B2102E"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10 jaar na de definitieve uitspraak.</w:t>
            </w:r>
          </w:p>
        </w:tc>
        <w:tc>
          <w:tcPr>
            <w:tcW w:w="1466" w:type="pct"/>
          </w:tcPr>
          <w:p w14:paraId="6A237FF0"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 xml:space="preserve">Dit is een gebruikelijke termijn voor dit soort document. Gebaseerd op </w:t>
            </w:r>
            <w:r>
              <w:rPr>
                <w:rFonts w:ascii="Open Sans" w:eastAsia="Calibri" w:hAnsi="Open Sans" w:cs="Open Sans"/>
                <w:sz w:val="20"/>
                <w:szCs w:val="20"/>
              </w:rPr>
              <w:lastRenderedPageBreak/>
              <w:t>de facultaire selectielijst concordans van de Radboud Universiteit.</w:t>
            </w:r>
          </w:p>
        </w:tc>
      </w:tr>
      <w:tr w:rsidR="003A046E" w:rsidRPr="00723938" w14:paraId="1E29C64E" w14:textId="77777777" w:rsidTr="00641020">
        <w:tc>
          <w:tcPr>
            <w:tcW w:w="232" w:type="pct"/>
          </w:tcPr>
          <w:p w14:paraId="088DE9E8"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hideMark/>
          </w:tcPr>
          <w:p w14:paraId="475314F7"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De financiële administratie</w:t>
            </w:r>
          </w:p>
        </w:tc>
        <w:tc>
          <w:tcPr>
            <w:tcW w:w="1740" w:type="pct"/>
            <w:hideMark/>
          </w:tcPr>
          <w:p w14:paraId="59581D99"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7 jaar (vanaf het einde van het jaar waarin de betreffende gegevens hun actuele belang voor de (fiscale) bedrijfsvoering hebben verloren) in verband met fiscale bewaarplicht ex art. 52 lid 4 Algemene wet inzake rijksbelastingen.</w:t>
            </w:r>
          </w:p>
        </w:tc>
        <w:tc>
          <w:tcPr>
            <w:tcW w:w="1466" w:type="pct"/>
          </w:tcPr>
          <w:p w14:paraId="2474569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Er geldt een wettelijke termijn van zeven jaar.</w:t>
            </w:r>
          </w:p>
        </w:tc>
      </w:tr>
      <w:tr w:rsidR="003A046E" w:rsidRPr="00723938" w14:paraId="01482F76" w14:textId="77777777" w:rsidTr="00641020">
        <w:tc>
          <w:tcPr>
            <w:tcW w:w="232" w:type="pct"/>
          </w:tcPr>
          <w:p w14:paraId="43A958B5"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52BCDE56"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Agenda’s en notulen van bestuursvergaderingen</w:t>
            </w:r>
          </w:p>
        </w:tc>
        <w:tc>
          <w:tcPr>
            <w:tcW w:w="1740" w:type="pct"/>
          </w:tcPr>
          <w:p w14:paraId="32AA672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4E43275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Deze stukken bewaren, in verband met de mogelijkheid om beleidsbeslissingen terug te zoeken.</w:t>
            </w:r>
          </w:p>
        </w:tc>
      </w:tr>
      <w:tr w:rsidR="003A046E" w:rsidRPr="00723938" w14:paraId="3B618C40" w14:textId="77777777" w:rsidTr="00641020">
        <w:tc>
          <w:tcPr>
            <w:tcW w:w="232" w:type="pct"/>
          </w:tcPr>
          <w:p w14:paraId="49517DF6"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565A13C5"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Bijlage bij agenda’s van bestuursvergaderingen</w:t>
            </w:r>
          </w:p>
        </w:tc>
        <w:tc>
          <w:tcPr>
            <w:tcW w:w="1740" w:type="pct"/>
          </w:tcPr>
          <w:p w14:paraId="58B543DB"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3CF919DA"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Deze stukken bewaren, in verband met de mogelijkheid om beleidsbeslissingen terug te zoeken.</w:t>
            </w:r>
          </w:p>
        </w:tc>
      </w:tr>
      <w:tr w:rsidR="003A046E" w:rsidRPr="00723938" w14:paraId="7574148C" w14:textId="77777777" w:rsidTr="00641020">
        <w:tc>
          <w:tcPr>
            <w:tcW w:w="232" w:type="pct"/>
          </w:tcPr>
          <w:p w14:paraId="284E34BD"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5B4A070F" w14:textId="77777777" w:rsidR="003A046E" w:rsidRDefault="003A046E" w:rsidP="00641020">
            <w:pPr>
              <w:rPr>
                <w:rFonts w:ascii="Open Sans" w:eastAsia="Calibri" w:hAnsi="Open Sans" w:cs="Open Sans"/>
                <w:sz w:val="20"/>
                <w:szCs w:val="20"/>
              </w:rPr>
            </w:pPr>
            <w:r w:rsidRPr="00723938">
              <w:rPr>
                <w:rFonts w:ascii="Open Sans" w:eastAsia="Calibri" w:hAnsi="Open Sans" w:cs="Open Sans"/>
                <w:sz w:val="20"/>
                <w:szCs w:val="20"/>
              </w:rPr>
              <w:t xml:space="preserve">Gegevens </w:t>
            </w:r>
            <w:r>
              <w:rPr>
                <w:rFonts w:ascii="Open Sans" w:eastAsia="Calibri" w:hAnsi="Open Sans" w:cs="Open Sans"/>
                <w:sz w:val="20"/>
                <w:szCs w:val="20"/>
              </w:rPr>
              <w:t>oud-</w:t>
            </w:r>
            <w:r w:rsidRPr="00723938">
              <w:rPr>
                <w:rFonts w:ascii="Open Sans" w:eastAsia="Calibri" w:hAnsi="Open Sans" w:cs="Open Sans"/>
                <w:sz w:val="20"/>
                <w:szCs w:val="20"/>
              </w:rPr>
              <w:t>docenten</w:t>
            </w:r>
            <w:r>
              <w:rPr>
                <w:rFonts w:ascii="Open Sans" w:eastAsia="Calibri" w:hAnsi="Open Sans" w:cs="Open Sans"/>
                <w:sz w:val="20"/>
                <w:szCs w:val="20"/>
              </w:rPr>
              <w:t xml:space="preserve"> en andere commissieleden</w:t>
            </w:r>
          </w:p>
        </w:tc>
        <w:tc>
          <w:tcPr>
            <w:tcW w:w="1740" w:type="pct"/>
          </w:tcPr>
          <w:p w14:paraId="41FDA078" w14:textId="77777777" w:rsidR="003A046E" w:rsidRDefault="003A046E" w:rsidP="00641020">
            <w:pPr>
              <w:rPr>
                <w:rFonts w:ascii="Open Sans" w:eastAsia="Calibri" w:hAnsi="Open Sans" w:cs="Open Sans"/>
                <w:sz w:val="20"/>
                <w:szCs w:val="20"/>
              </w:rPr>
            </w:pPr>
            <w:r>
              <w:rPr>
                <w:rFonts w:ascii="Open Sans" w:eastAsia="Calibri" w:hAnsi="Open Sans" w:cs="Open Sans"/>
                <w:sz w:val="20"/>
                <w:szCs w:val="20"/>
              </w:rPr>
              <w:t>10 jaar na de afronding van de activiteiten voor de Grotius Academie</w:t>
            </w:r>
          </w:p>
        </w:tc>
        <w:tc>
          <w:tcPr>
            <w:tcW w:w="1466" w:type="pct"/>
          </w:tcPr>
          <w:p w14:paraId="3A01E327" w14:textId="77777777" w:rsidR="003A046E" w:rsidRDefault="003A046E" w:rsidP="00641020">
            <w:pPr>
              <w:rPr>
                <w:rFonts w:ascii="Open Sans" w:eastAsia="Calibri" w:hAnsi="Open Sans" w:cs="Open Sans"/>
                <w:sz w:val="20"/>
                <w:szCs w:val="20"/>
              </w:rPr>
            </w:pPr>
            <w:r>
              <w:rPr>
                <w:rFonts w:ascii="Open Sans" w:eastAsia="Calibri" w:hAnsi="Open Sans" w:cs="Open Sans"/>
                <w:sz w:val="20"/>
                <w:szCs w:val="20"/>
              </w:rPr>
              <w:t>Deze gegevens kunnen nog nodig zijn voor lustrumvieringen.</w:t>
            </w:r>
          </w:p>
        </w:tc>
      </w:tr>
      <w:tr w:rsidR="003A046E" w:rsidRPr="00723938" w14:paraId="195626D1" w14:textId="77777777" w:rsidTr="00641020">
        <w:tc>
          <w:tcPr>
            <w:tcW w:w="232" w:type="pct"/>
          </w:tcPr>
          <w:p w14:paraId="014546B5"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59B64D5E" w14:textId="77777777" w:rsidR="003A046E" w:rsidRPr="00723938" w:rsidRDefault="003A046E" w:rsidP="00641020">
            <w:pPr>
              <w:rPr>
                <w:rFonts w:ascii="Open Sans" w:eastAsia="Calibri" w:hAnsi="Open Sans" w:cs="Open Sans"/>
                <w:sz w:val="20"/>
                <w:szCs w:val="20"/>
              </w:rPr>
            </w:pPr>
            <w:r w:rsidRPr="00723938">
              <w:rPr>
                <w:rFonts w:ascii="Open Sans" w:eastAsia="Calibri" w:hAnsi="Open Sans" w:cs="Open Sans"/>
                <w:sz w:val="20"/>
                <w:szCs w:val="20"/>
              </w:rPr>
              <w:t>Gegevens bestuursleden</w:t>
            </w:r>
          </w:p>
        </w:tc>
        <w:tc>
          <w:tcPr>
            <w:tcW w:w="1740" w:type="pct"/>
          </w:tcPr>
          <w:p w14:paraId="41C2F128"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6EAA60F2"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Deze gegevens kunnen nog nodig zijn voor lustrumvieringen.</w:t>
            </w:r>
          </w:p>
        </w:tc>
      </w:tr>
      <w:tr w:rsidR="003A046E" w:rsidRPr="00723938" w14:paraId="7407ACC7" w14:textId="77777777" w:rsidTr="00641020">
        <w:tc>
          <w:tcPr>
            <w:tcW w:w="232" w:type="pct"/>
          </w:tcPr>
          <w:p w14:paraId="191BDFFE"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5D6CD25D"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Deelnemershandleidingen</w:t>
            </w:r>
          </w:p>
        </w:tc>
        <w:tc>
          <w:tcPr>
            <w:tcW w:w="1740" w:type="pct"/>
          </w:tcPr>
          <w:p w14:paraId="32CF1161"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4CDA76AD"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Grotius Academie moet  kunnen nagaan welke  deelnemershandleidingen per deelnemer hebben gegolden.</w:t>
            </w:r>
          </w:p>
        </w:tc>
      </w:tr>
      <w:tr w:rsidR="003A046E" w:rsidRPr="00723938" w14:paraId="16BD8652" w14:textId="77777777" w:rsidTr="00641020">
        <w:tc>
          <w:tcPr>
            <w:tcW w:w="232" w:type="pct"/>
          </w:tcPr>
          <w:p w14:paraId="657C37A4" w14:textId="77777777" w:rsidR="003A046E" w:rsidRPr="00723938" w:rsidRDefault="003A046E" w:rsidP="003A046E">
            <w:pPr>
              <w:numPr>
                <w:ilvl w:val="0"/>
                <w:numId w:val="1"/>
              </w:numPr>
              <w:spacing w:line="256" w:lineRule="auto"/>
              <w:ind w:left="164" w:hanging="142"/>
              <w:contextualSpacing/>
              <w:rPr>
                <w:rFonts w:ascii="Open Sans" w:eastAsia="Calibri" w:hAnsi="Open Sans" w:cs="Open Sans"/>
                <w:sz w:val="20"/>
                <w:szCs w:val="20"/>
              </w:rPr>
            </w:pPr>
          </w:p>
        </w:tc>
        <w:tc>
          <w:tcPr>
            <w:tcW w:w="1562" w:type="pct"/>
          </w:tcPr>
          <w:p w14:paraId="696F7767"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Jaarverslagen</w:t>
            </w:r>
          </w:p>
        </w:tc>
        <w:tc>
          <w:tcPr>
            <w:tcW w:w="1740" w:type="pct"/>
          </w:tcPr>
          <w:p w14:paraId="744488AD"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Altijd bewaren</w:t>
            </w:r>
          </w:p>
        </w:tc>
        <w:tc>
          <w:tcPr>
            <w:tcW w:w="1466" w:type="pct"/>
          </w:tcPr>
          <w:p w14:paraId="043C4206" w14:textId="77777777" w:rsidR="003A046E" w:rsidRPr="00723938" w:rsidRDefault="003A046E" w:rsidP="00641020">
            <w:pPr>
              <w:rPr>
                <w:rFonts w:ascii="Open Sans" w:eastAsia="Calibri" w:hAnsi="Open Sans" w:cs="Open Sans"/>
                <w:sz w:val="20"/>
                <w:szCs w:val="20"/>
              </w:rPr>
            </w:pPr>
            <w:r>
              <w:rPr>
                <w:rFonts w:ascii="Open Sans" w:eastAsia="Calibri" w:hAnsi="Open Sans" w:cs="Open Sans"/>
                <w:sz w:val="20"/>
                <w:szCs w:val="20"/>
              </w:rPr>
              <w:t>Deze stukken bewaren, in verband met de  mogelijkheid beleidsbeslissingen terug te zoeken.</w:t>
            </w:r>
          </w:p>
        </w:tc>
      </w:tr>
    </w:tbl>
    <w:p w14:paraId="7FD6BCB8" w14:textId="77777777" w:rsidR="003A046E" w:rsidRDefault="003A046E" w:rsidP="003A046E">
      <w:pPr>
        <w:rPr>
          <w:rFonts w:ascii="Open Sans" w:eastAsia="Times New Roman" w:hAnsi="Open Sans" w:cs="Open Sans"/>
          <w:color w:val="222222"/>
          <w:sz w:val="23"/>
          <w:szCs w:val="23"/>
          <w:lang w:eastAsia="nl-NL"/>
        </w:rPr>
      </w:pPr>
    </w:p>
    <w:p w14:paraId="6C12E33D" w14:textId="77777777" w:rsidR="003A046E" w:rsidRPr="004F2116" w:rsidRDefault="003A046E" w:rsidP="003A046E">
      <w:pPr>
        <w:rPr>
          <w:rFonts w:ascii="Open Sans" w:eastAsia="Times New Roman" w:hAnsi="Open Sans" w:cs="Open Sans"/>
          <w:color w:val="222222"/>
          <w:sz w:val="23"/>
          <w:szCs w:val="23"/>
          <w:lang w:eastAsia="nl-NL"/>
        </w:rPr>
      </w:pPr>
      <w:r>
        <w:rPr>
          <w:rFonts w:ascii="Open Sans" w:eastAsia="Times New Roman" w:hAnsi="Open Sans" w:cs="Open Sans"/>
          <w:color w:val="222222"/>
          <w:sz w:val="23"/>
          <w:szCs w:val="23"/>
          <w:lang w:eastAsia="nl-NL"/>
        </w:rPr>
        <w:t>Grotius Academie kan</w:t>
      </w:r>
      <w:r w:rsidRPr="004F2116">
        <w:rPr>
          <w:rFonts w:ascii="Open Sans" w:eastAsia="Times New Roman" w:hAnsi="Open Sans" w:cs="Open Sans"/>
          <w:color w:val="222222"/>
          <w:sz w:val="23"/>
          <w:szCs w:val="23"/>
          <w:lang w:eastAsia="nl-NL"/>
        </w:rPr>
        <w:t xml:space="preserve"> de bewaartermijnen verlengen en/of aanpassen indien nieuwe wettelijke bewaarplichten van toepassing worden verklaard of worden gewijzigd, of indien dit nodig is ter behartiging van de gerechtvaardigde belangen van Grotius Academie, bijvoorbeeld voor het afwikkelen van incidenten of bij juridische geschillen.</w:t>
      </w:r>
    </w:p>
    <w:p w14:paraId="2FB92319" w14:textId="77777777" w:rsidR="00E61F5C" w:rsidRDefault="00E61F5C"/>
    <w:sectPr w:rsidR="00E61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0F85"/>
    <w:multiLevelType w:val="hybridMultilevel"/>
    <w:tmpl w:val="07C8D60E"/>
    <w:lvl w:ilvl="0" w:tplc="64A463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280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6E"/>
    <w:rsid w:val="000A1999"/>
    <w:rsid w:val="003A046E"/>
    <w:rsid w:val="00444AE9"/>
    <w:rsid w:val="00920CE8"/>
    <w:rsid w:val="00B5774B"/>
    <w:rsid w:val="00E57423"/>
    <w:rsid w:val="00E61F5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A781"/>
  <w15:chartTrackingRefBased/>
  <w15:docId w15:val="{21669C56-7A7A-4037-8CB2-ECFB6DCC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46E"/>
    <w:rPr>
      <w:kern w:val="0"/>
      <w:lang w:bidi="ar-SA"/>
      <w14:ligatures w14:val="none"/>
    </w:rPr>
  </w:style>
  <w:style w:type="paragraph" w:styleId="Kop1">
    <w:name w:val="heading 1"/>
    <w:basedOn w:val="Standaard"/>
    <w:next w:val="Standaard"/>
    <w:link w:val="Kop1Char"/>
    <w:uiPriority w:val="9"/>
    <w:qFormat/>
    <w:rsid w:val="003A0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4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4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4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4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4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4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4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4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4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4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4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4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4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4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4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46E"/>
    <w:rPr>
      <w:rFonts w:eastAsiaTheme="majorEastAsia" w:cstheme="majorBidi"/>
      <w:color w:val="272727" w:themeColor="text1" w:themeTint="D8"/>
    </w:rPr>
  </w:style>
  <w:style w:type="paragraph" w:styleId="Titel">
    <w:name w:val="Title"/>
    <w:basedOn w:val="Standaard"/>
    <w:next w:val="Standaard"/>
    <w:link w:val="TitelChar"/>
    <w:uiPriority w:val="10"/>
    <w:qFormat/>
    <w:rsid w:val="003A0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4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4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4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4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46E"/>
    <w:rPr>
      <w:i/>
      <w:iCs/>
      <w:color w:val="404040" w:themeColor="text1" w:themeTint="BF"/>
    </w:rPr>
  </w:style>
  <w:style w:type="paragraph" w:styleId="Lijstalinea">
    <w:name w:val="List Paragraph"/>
    <w:basedOn w:val="Standaard"/>
    <w:uiPriority w:val="34"/>
    <w:qFormat/>
    <w:rsid w:val="003A046E"/>
    <w:pPr>
      <w:ind w:left="720"/>
      <w:contextualSpacing/>
    </w:pPr>
  </w:style>
  <w:style w:type="character" w:styleId="Intensievebenadrukking">
    <w:name w:val="Intense Emphasis"/>
    <w:basedOn w:val="Standaardalinea-lettertype"/>
    <w:uiPriority w:val="21"/>
    <w:qFormat/>
    <w:rsid w:val="003A046E"/>
    <w:rPr>
      <w:i/>
      <w:iCs/>
      <w:color w:val="0F4761" w:themeColor="accent1" w:themeShade="BF"/>
    </w:rPr>
  </w:style>
  <w:style w:type="paragraph" w:styleId="Duidelijkcitaat">
    <w:name w:val="Intense Quote"/>
    <w:basedOn w:val="Standaard"/>
    <w:next w:val="Standaard"/>
    <w:link w:val="DuidelijkcitaatChar"/>
    <w:uiPriority w:val="30"/>
    <w:qFormat/>
    <w:rsid w:val="003A0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46E"/>
    <w:rPr>
      <w:i/>
      <w:iCs/>
      <w:color w:val="0F4761" w:themeColor="accent1" w:themeShade="BF"/>
    </w:rPr>
  </w:style>
  <w:style w:type="character" w:styleId="Intensieveverwijzing">
    <w:name w:val="Intense Reference"/>
    <w:basedOn w:val="Standaardalinea-lettertype"/>
    <w:uiPriority w:val="32"/>
    <w:qFormat/>
    <w:rsid w:val="003A046E"/>
    <w:rPr>
      <w:b/>
      <w:bCs/>
      <w:smallCaps/>
      <w:color w:val="0F4761" w:themeColor="accent1" w:themeShade="BF"/>
      <w:spacing w:val="5"/>
    </w:rPr>
  </w:style>
  <w:style w:type="table" w:customStyle="1" w:styleId="TableGrid1">
    <w:name w:val="Table Grid1"/>
    <w:basedOn w:val="Standaardtabel"/>
    <w:next w:val="Tabelraster"/>
    <w:rsid w:val="003A046E"/>
    <w:pPr>
      <w:spacing w:after="0" w:line="240" w:lineRule="auto"/>
    </w:pPr>
    <w:rPr>
      <w:rFonts w:ascii="Verdana" w:eastAsia="Times New Roman" w:hAnsi="Verdana" w:cs="Times New Roman"/>
      <w:kern w:val="0"/>
      <w:sz w:val="16"/>
      <w:szCs w:val="24"/>
      <w:lang w:eastAsia="nl-NL"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Tabelraster">
    <w:name w:val="Table Grid"/>
    <w:basedOn w:val="Standaardtabel"/>
    <w:uiPriority w:val="39"/>
    <w:rsid w:val="003A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2682</Characters>
  <Application>Microsoft Office Word</Application>
  <DocSecurity>0</DocSecurity>
  <Lines>22</Lines>
  <Paragraphs>6</Paragraphs>
  <ScaleCrop>false</ScaleCrop>
  <Company>Radboud University Nijmegen</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Larosch, J. (Jacqueline)</dc:creator>
  <cp:keywords/>
  <dc:description/>
  <cp:lastModifiedBy>Larosch, J. (Jacqueline)</cp:lastModifiedBy>
  <cp:revision>2</cp:revision>
  <dcterms:created xsi:type="dcterms:W3CDTF">2024-06-20T10:28:00Z</dcterms:created>
  <dcterms:modified xsi:type="dcterms:W3CDTF">2024-06-20T10:28:00Z</dcterms:modified>
</cp:coreProperties>
</file>